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 27 de octubre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>Agrocabildo organiza un curso gratuito sobre Administración Electrónica en Tamaimo</w:t>
      </w:r>
    </w:p>
    <w:p>
      <w:pPr>
        <w:spacing w:before="100" w:beforeAutospacing="1" w:after="100" w:afterAutospacing="1"/>
        <w:outlineLvl w:val="1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Se desarrollará en el Centro Social los días 3 y 10 de noviembre en horario de 18:00 a 20:00 horas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Servicio Técnico de Agricultura y Desarrollo Rural del Cabildo de Tenerife organiza en colaboración con el Ayuntamiento de Santiago del Teide un curso gratuito presencial sobre Administración Electrónica que se llevará a cabo los días 3 y 10 de noviembre en el Centro Social de Tamaimo, en horario de 18:00 a 20:00 horas.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curso, con plazas muy limitadas requiere de inscripción previa y está dirigido a personas con conocimientos básicos de informática.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personas interesadas pueden inscribirse en el siguiente enlace: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hyperlink r:id="rId6" w:tgtFrame="_blank" w:history="1">
        <w:r>
          <w:rPr>
            <w:rStyle w:val="Hipervnculo"/>
          </w:rPr>
          <w:t>https://formacionagraria.tenerife.es/acf.../actividades/1806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Para más información contactar con el teléfono 922-44-79-24 y/o a través del correo valentinare.proyecto@tenerife.es. </w:t>
      </w:r>
    </w:p>
    <w:p>
      <w:pPr>
        <w:rPr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formacionagraria.tenerife.es%2Facfor-fo%2Factividades%2F1806%3Ffbclid%3DIwAR1yik0FUo-mypvAdirmfVXKsA0SYc4k-QJRuaZpRlbB-v2hvkQEu-xDS6k&amp;h=AT3GmT7b3fjvchoPAiaVdizyW243giql0l3iYWomq1keOK-Ge9iQdjML7zRN-HE7GAW41EkvWuDHUjC3pvU-adL3aV2yFKvwaEMBHWbxL_Dz__6MmPXKgi4w0cmcF07PSLag&amp;__tn__=-UK-R&amp;c%5b0%5d=AT1XTVeTefQUY3WPm4-e2nzImhxcRbS4mt0VHmy8P3BnE0Pg9Y66BGVhDmjCzWfeCwpUR98eefnNLsP0okUWtSKwZaj_E4kYOEQGugInHLcIXmA6xfFF1avvHORbMaq8Hmh6qnLmbCD52DiOIHNXe6EidiIdvA_n8yoK0m0BxOPqqRdq2bm02mtymKFeCygNkbvZy11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3</cp:revision>
  <cp:lastPrinted>2019-10-17T07:59:00Z</cp:lastPrinted>
  <dcterms:created xsi:type="dcterms:W3CDTF">2021-10-27T12:03:00Z</dcterms:created>
  <dcterms:modified xsi:type="dcterms:W3CDTF">2021-10-27T12:03:00Z</dcterms:modified>
</cp:coreProperties>
</file>